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efault"/>
        <w:spacing w:after="60"/>
        <w:rPr>
          <w:rStyle w:val="None"/>
          <w:sz w:val="29"/>
          <w:szCs w:val="29"/>
        </w:rPr>
      </w:pPr>
    </w:p>
    <w:p>
      <w:pPr>
        <w:pStyle w:val="Heading"/>
      </w:pPr>
      <w:r>
        <w:rPr>
          <w:rStyle w:val="None"/>
          <w:rtl w:val="0"/>
          <w:lang w:val="en-US"/>
        </w:rPr>
        <w:t>Event Overviews</w:t>
      </w:r>
    </w:p>
    <w:p>
      <w:pPr>
        <w:pStyle w:val="Body A"/>
        <w:rPr>
          <w:rStyle w:val="None"/>
        </w:rPr>
      </w:pPr>
      <w:r>
        <w:rPr>
          <w:rStyle w:val="None"/>
          <w:rtl w:val="0"/>
          <w:lang w:val="en-US"/>
        </w:rPr>
        <w:t xml:space="preserve">The </w:t>
      </w:r>
      <w:r>
        <w:rPr>
          <w:rStyle w:val="Hyperlink.1"/>
          <w:rFonts w:ascii="Times New Roman" w:cs="Times New Roman" w:hAnsi="Times New Roman" w:eastAsia="Times New Roman"/>
          <w:b w:val="1"/>
          <w:bCs w:val="1"/>
          <w:outline w:val="0"/>
          <w:color w:val="0076ba"/>
          <w:u w:val="single" w:color="0076ba"/>
          <w:lang w:val="en-US"/>
          <w14:textFill>
            <w14:solidFill>
              <w14:srgbClr w14:val="0076BA"/>
            </w14:solidFill>
          </w14:textFill>
        </w:rPr>
        <w:fldChar w:fldCharType="begin" w:fldLock="0"/>
      </w:r>
      <w:r>
        <w:rPr>
          <w:rStyle w:val="Hyperlink.1"/>
          <w:rFonts w:ascii="Times New Roman" w:cs="Times New Roman" w:hAnsi="Times New Roman" w:eastAsia="Times New Roman"/>
          <w:b w:val="1"/>
          <w:bCs w:val="1"/>
          <w:outline w:val="0"/>
          <w:color w:val="0076ba"/>
          <w:u w:val="single" w:color="0076ba"/>
          <w:lang w:val="en-US"/>
          <w14:textFill>
            <w14:solidFill>
              <w14:srgbClr w14:val="0076BA"/>
            </w14:solidFill>
          </w14:textFill>
        </w:rPr>
        <w:instrText xml:space="preserve"> HYPERLINK "https://datavismasterclass.org/de/heidelberg"</w:instrText>
      </w:r>
      <w:r>
        <w:rPr>
          <w:rStyle w:val="Hyperlink.1"/>
          <w:rFonts w:ascii="Times New Roman" w:cs="Times New Roman" w:hAnsi="Times New Roman" w:eastAsia="Times New Roman"/>
          <w:b w:val="1"/>
          <w:bCs w:val="1"/>
          <w:outline w:val="0"/>
          <w:color w:val="0076ba"/>
          <w:u w:val="single" w:color="0076ba"/>
          <w:lang w:val="en-US"/>
          <w14:textFill>
            <w14:solidFill>
              <w14:srgbClr w14:val="0076BA"/>
            </w14:solidFill>
          </w14:textFill>
        </w:rPr>
        <w:fldChar w:fldCharType="separate" w:fldLock="0"/>
      </w:r>
      <w:r>
        <w:rPr>
          <w:rStyle w:val="Hyperlink.1"/>
          <w:rFonts w:ascii="Times New Roman" w:hAnsi="Times New Roman"/>
          <w:b w:val="1"/>
          <w:bCs w:val="1"/>
          <w:outline w:val="0"/>
          <w:color w:val="0076ba"/>
          <w:u w:val="single" w:color="0076ba"/>
          <w:rtl w:val="0"/>
          <w:lang w:val="en-US"/>
          <w14:textFill>
            <w14:solidFill>
              <w14:srgbClr w14:val="0076BA"/>
            </w14:solidFill>
          </w14:textFill>
        </w:rPr>
        <w:t>Data Visualization Masterclass</w:t>
      </w:r>
      <w:r>
        <w:rPr/>
        <w:fldChar w:fldCharType="end" w:fldLock="0"/>
      </w:r>
      <w:r>
        <w:rPr>
          <w:rStyle w:val="None"/>
          <w:rtl w:val="0"/>
          <w:lang w:val="en-US"/>
        </w:rPr>
        <w:t xml:space="preserve"> is a highly regarded professional training series, held at global locations over the past ten years as a satellite event to the international meetings on Visualizing Biological Data (</w:t>
      </w:r>
      <w:r>
        <w:rPr>
          <w:rStyle w:val="Hyperlink.2"/>
          <w:outline w:val="0"/>
          <w:color w:val="209dc4"/>
          <w:u w:color="209dc4"/>
          <w:lang w:val="de-DE"/>
          <w14:textFill>
            <w14:solidFill>
              <w14:srgbClr w14:val="209DC4"/>
            </w14:solidFill>
          </w14:textFill>
        </w:rPr>
        <w:fldChar w:fldCharType="begin" w:fldLock="0"/>
      </w:r>
      <w:r>
        <w:rPr>
          <w:rStyle w:val="Hyperlink.2"/>
          <w:outline w:val="0"/>
          <w:color w:val="209dc4"/>
          <w:u w:color="209dc4"/>
          <w:lang w:val="de-DE"/>
          <w14:textFill>
            <w14:solidFill>
              <w14:srgbClr w14:val="209DC4"/>
            </w14:solidFill>
          </w14:textFill>
        </w:rPr>
        <w:instrText xml:space="preserve"> HYPERLINK "https://vizbi.org/"</w:instrText>
      </w:r>
      <w:r>
        <w:rPr>
          <w:rStyle w:val="Hyperlink.2"/>
          <w:outline w:val="0"/>
          <w:color w:val="209dc4"/>
          <w:u w:color="209dc4"/>
          <w:lang w:val="de-DE"/>
          <w14:textFill>
            <w14:solidFill>
              <w14:srgbClr w14:val="209DC4"/>
            </w14:solidFill>
          </w14:textFill>
        </w:rPr>
        <w:fldChar w:fldCharType="separate" w:fldLock="0"/>
      </w:r>
      <w:r>
        <w:rPr>
          <w:rStyle w:val="Hyperlink.2"/>
          <w:outline w:val="0"/>
          <w:color w:val="209dc4"/>
          <w:u w:color="209dc4"/>
          <w:rtl w:val="0"/>
          <w:lang w:val="de-DE"/>
          <w14:textFill>
            <w14:solidFill>
              <w14:srgbClr w14:val="209DC4"/>
            </w14:solidFill>
          </w14:textFill>
        </w:rPr>
        <w:t>VIZBI</w:t>
      </w:r>
      <w:r>
        <w:rPr/>
        <w:fldChar w:fldCharType="end" w:fldLock="0"/>
      </w:r>
      <w:r>
        <w:rPr>
          <w:rStyle w:val="None"/>
          <w:rtl w:val="0"/>
          <w:lang w:val="en-US"/>
        </w:rPr>
        <w:t>), and supported by the International Society for Computational Biology (</w:t>
      </w:r>
      <w:r>
        <w:rPr>
          <w:rStyle w:val="Hyperlink.2"/>
          <w:outline w:val="0"/>
          <w:color w:val="209dc4"/>
          <w:u w:color="209dc4"/>
          <w:lang w:val="de-DE"/>
          <w14:textFill>
            <w14:solidFill>
              <w14:srgbClr w14:val="209DC4"/>
            </w14:solidFill>
          </w14:textFill>
        </w:rPr>
        <w:fldChar w:fldCharType="begin" w:fldLock="0"/>
      </w:r>
      <w:r>
        <w:rPr>
          <w:rStyle w:val="Hyperlink.2"/>
          <w:outline w:val="0"/>
          <w:color w:val="209dc4"/>
          <w:u w:color="209dc4"/>
          <w:lang w:val="de-DE"/>
          <w14:textFill>
            <w14:solidFill>
              <w14:srgbClr w14:val="209DC4"/>
            </w14:solidFill>
          </w14:textFill>
        </w:rPr>
        <w:instrText xml:space="preserve"> HYPERLINK "https://www.iscb.org/"</w:instrText>
      </w:r>
      <w:r>
        <w:rPr>
          <w:rStyle w:val="Hyperlink.2"/>
          <w:outline w:val="0"/>
          <w:color w:val="209dc4"/>
          <w:u w:color="209dc4"/>
          <w:lang w:val="de-DE"/>
          <w14:textFill>
            <w14:solidFill>
              <w14:srgbClr w14:val="209DC4"/>
            </w14:solidFill>
          </w14:textFill>
        </w:rPr>
        <w:fldChar w:fldCharType="separate" w:fldLock="0"/>
      </w:r>
      <w:r>
        <w:rPr>
          <w:rStyle w:val="Hyperlink.2"/>
          <w:outline w:val="0"/>
          <w:color w:val="209dc4"/>
          <w:u w:color="209dc4"/>
          <w:rtl w:val="0"/>
          <w:lang w:val="de-DE"/>
          <w14:textFill>
            <w14:solidFill>
              <w14:srgbClr w14:val="209DC4"/>
            </w14:solidFill>
          </w14:textFill>
        </w:rPr>
        <w:t>ISCB</w:t>
      </w:r>
      <w:r>
        <w:rPr/>
        <w:fldChar w:fldCharType="end" w:fldLock="0"/>
      </w:r>
      <w:r>
        <w:rPr>
          <w:rStyle w:val="None"/>
          <w:rtl w:val="0"/>
          <w:lang w:val="en-US"/>
        </w:rPr>
        <w:t>). The Masterclass features renowned experts who distill decades of experience into a compact format. Participants gain essential skills to uncover insights from complex data, validate AI-driven findings, and effectively communicate their results.</w:t>
      </w:r>
    </w:p>
    <w:p>
      <w:pPr>
        <w:pStyle w:val="Heading"/>
        <w:rPr>
          <w:rStyle w:val="None"/>
          <w:sz w:val="24"/>
          <w:szCs w:val="24"/>
        </w:rPr>
      </w:pPr>
      <w:r>
        <w:rPr>
          <w:rStyle w:val="None"/>
          <w:rtl w:val="0"/>
          <w:lang w:val="en-US"/>
        </w:rPr>
        <w:t>Key Benefits for Attendees</w:t>
      </w:r>
    </w:p>
    <w:p>
      <w:pPr>
        <w:pStyle w:val="Bullet list"/>
        <w:numPr>
          <w:ilvl w:val="0"/>
          <w:numId w:val="2"/>
        </w:numPr>
        <w:rPr>
          <w:lang w:val="en-US"/>
        </w:rPr>
      </w:pPr>
      <w:r>
        <w:rPr>
          <w:rStyle w:val="None"/>
          <w:rFonts w:ascii="Raleway Thin Bold" w:hAnsi="Raleway Thin Bold"/>
          <w:rtl w:val="0"/>
          <w:lang w:val="en-US"/>
        </w:rPr>
        <w:t>Master Best Practices</w:t>
      </w:r>
      <w:r>
        <w:rPr>
          <w:rStyle w:val="None"/>
          <w:rtl w:val="0"/>
          <w:lang w:val="en-US"/>
        </w:rPr>
        <w:t>: Gain hands-on knowledge of advanced data visualization principles, strategies, and tools directly applicable to your work.</w:t>
      </w:r>
    </w:p>
    <w:p>
      <w:pPr>
        <w:pStyle w:val="Bullet list"/>
        <w:numPr>
          <w:ilvl w:val="0"/>
          <w:numId w:val="2"/>
        </w:numPr>
        <w:rPr>
          <w:lang w:val="en-US"/>
        </w:rPr>
      </w:pPr>
      <w:r>
        <w:rPr>
          <w:rStyle w:val="None"/>
          <w:rFonts w:ascii="Raleway Thin Bold" w:hAnsi="Raleway Thin Bold"/>
          <w:rtl w:val="0"/>
          <w:lang w:val="en-US"/>
        </w:rPr>
        <w:t>Expert Guidance</w:t>
      </w:r>
      <w:r>
        <w:rPr>
          <w:rStyle w:val="None"/>
          <w:rtl w:val="0"/>
          <w:lang w:val="en-US"/>
        </w:rPr>
        <w:t>: Learn from a world-renowned expert with decades of experience in visualizing complex data.</w:t>
      </w:r>
    </w:p>
    <w:p>
      <w:pPr>
        <w:pStyle w:val="Bullet list"/>
        <w:numPr>
          <w:ilvl w:val="0"/>
          <w:numId w:val="2"/>
        </w:numPr>
        <w:rPr>
          <w:lang w:val="en-US"/>
        </w:rPr>
      </w:pPr>
      <w:r>
        <w:rPr>
          <w:rStyle w:val="None"/>
          <w:rFonts w:ascii="Raleway Thin Bold" w:hAnsi="Raleway Thin Bold"/>
          <w:rtl w:val="0"/>
          <w:lang w:val="en-US"/>
        </w:rPr>
        <w:t>Professional Growth</w:t>
      </w:r>
      <w:r>
        <w:rPr>
          <w:rStyle w:val="None"/>
          <w:rtl w:val="0"/>
          <w:lang w:val="en-US"/>
        </w:rPr>
        <w:t>: Enhance your ability</w:t>
      </w:r>
      <w:r>
        <w:rPr>
          <w:rStyle w:val="None"/>
          <w:rtl w:val="0"/>
          <w:lang w:val="en-US"/>
        </w:rPr>
        <w:t xml:space="preserve"> </w:t>
      </w:r>
      <w:r>
        <w:rPr>
          <w:rStyle w:val="None"/>
          <w:rtl w:val="0"/>
          <w:lang w:val="en-US"/>
        </w:rPr>
        <w:t>to validate datasets, interpre</w:t>
      </w:r>
      <w:r>
        <w:rPr>
          <w:rStyle w:val="None"/>
        </w:rPr>
        <w:drawing xmlns:a="http://schemas.openxmlformats.org/drawingml/2006/main"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719999</wp:posOffset>
            </wp:positionH>
            <wp:positionV relativeFrom="page">
              <wp:posOffset>719999</wp:posOffset>
            </wp:positionV>
            <wp:extent cx="6119930" cy="1923953"/>
            <wp:effectExtent l="0" t="0" r="0" b="0"/>
            <wp:wrapTopAndBottom distT="0" distB="0"/>
            <wp:docPr id="1073741825" name="officeArt object" descr="banner-full.png">
              <a:hlinkClick r:id="rId4" invalidUrl="" action="" tgtFrame="" tooltip="" history="1" highlightClick="0" endSnd="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anner-full.png" descr="banner-full.png">
                      <a:hlinkClick r:id="rId4" invalidUrl="" action="" tgtFrame="" tooltip="" history="1" highlightClick="0" endSnd="0"/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14" t="0" r="14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119930" cy="19239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tl w:val="0"/>
          <w:lang w:val="en-US"/>
        </w:rPr>
        <w:t>t AI-driven insights, and craft compelling data-driven narratives.</w:t>
      </w:r>
    </w:p>
    <w:p>
      <w:pPr>
        <w:pStyle w:val="Bullet list"/>
        <w:numPr>
          <w:ilvl w:val="0"/>
          <w:numId w:val="2"/>
        </w:numPr>
        <w:rPr>
          <w:lang w:val="en-US"/>
        </w:rPr>
      </w:pPr>
      <w:r>
        <w:rPr>
          <w:rStyle w:val="None"/>
          <w:rFonts w:ascii="Raleway Thin Bold" w:hAnsi="Raleway Thin Bold"/>
          <w:rtl w:val="0"/>
          <w:lang w:val="en-US"/>
        </w:rPr>
        <w:t>Interactive Learning</w:t>
      </w:r>
      <w:r>
        <w:rPr>
          <w:rStyle w:val="None"/>
          <w:rtl w:val="0"/>
          <w:lang w:val="en-US"/>
        </w:rPr>
        <w:t>: Present your challenges in lightning talks to receive tailored feedback from the instructor and peers.</w:t>
      </w:r>
    </w:p>
    <w:p>
      <w:pPr>
        <w:pStyle w:val="Bullet list - last"/>
        <w:numPr>
          <w:ilvl w:val="0"/>
          <w:numId w:val="2"/>
        </w:numPr>
        <w:rPr>
          <w:lang w:val="fr-FR"/>
        </w:rPr>
      </w:pPr>
      <w:r>
        <w:rPr>
          <w:rStyle w:val="None"/>
          <w:rFonts w:ascii="Raleway Thin Bold" w:hAnsi="Raleway Thin Bold"/>
          <w:rtl w:val="0"/>
          <w:lang w:val="fr-FR"/>
        </w:rPr>
        <w:t>Certification</w:t>
      </w:r>
      <w:r>
        <w:rPr>
          <w:rStyle w:val="None"/>
          <w:rtl w:val="0"/>
          <w:lang w:val="en-US"/>
        </w:rPr>
        <w:t>: Receive a completion certificate to support your professional development goals.</w:t>
      </w:r>
    </w:p>
    <w:p>
      <w:pPr>
        <w:pStyle w:val="Heading"/>
      </w:pPr>
      <w:r>
        <w:rPr>
          <w:rStyle w:val="None"/>
          <w:rtl w:val="0"/>
          <w:lang w:val="en-US"/>
        </w:rPr>
        <w:t>Practical Applications</w:t>
      </w:r>
    </w:p>
    <w:p>
      <w:pPr>
        <w:pStyle w:val="Bullet list"/>
        <w:numPr>
          <w:ilvl w:val="0"/>
          <w:numId w:val="3"/>
        </w:numPr>
        <w:rPr>
          <w:lang w:val="en-US"/>
        </w:rPr>
      </w:pPr>
      <w:r>
        <w:rPr>
          <w:rStyle w:val="None"/>
          <w:rtl w:val="0"/>
          <w:lang w:val="en-US"/>
        </w:rPr>
        <w:t>Design clear, impactful visualizations for complex datasets.</w:t>
      </w:r>
    </w:p>
    <w:p>
      <w:pPr>
        <w:pStyle w:val="Bullet list"/>
        <w:numPr>
          <w:ilvl w:val="0"/>
          <w:numId w:val="3"/>
        </w:numPr>
        <w:rPr>
          <w:lang w:val="en-US"/>
        </w:rPr>
      </w:pPr>
      <w:r>
        <w:rPr>
          <w:rStyle w:val="None"/>
          <w:rtl w:val="0"/>
          <w:lang w:val="en-US"/>
        </w:rPr>
        <w:t>Communicate findings effectively to diverse audiences.</w:t>
      </w:r>
    </w:p>
    <w:p>
      <w:pPr>
        <w:pStyle w:val="Bullet list"/>
        <w:numPr>
          <w:ilvl w:val="0"/>
          <w:numId w:val="3"/>
        </w:numPr>
        <w:rPr>
          <w:lang w:val="en-US"/>
        </w:rPr>
      </w:pPr>
      <w:r>
        <w:rPr>
          <w:rStyle w:val="None"/>
          <w:rtl w:val="0"/>
          <w:lang w:val="en-US"/>
        </w:rPr>
        <w:t>Navigate challenges like multimodal data integration and data storytelling.</w:t>
      </w:r>
    </w:p>
    <w:p>
      <w:pPr>
        <w:pStyle w:val="Bullet list - last"/>
        <w:numPr>
          <w:ilvl w:val="0"/>
          <w:numId w:val="3"/>
        </w:numPr>
        <w:rPr>
          <w:lang w:val="en-US"/>
        </w:rPr>
      </w:pPr>
      <w:r>
        <w:rPr>
          <w:rStyle w:val="None"/>
          <w:rtl w:val="0"/>
          <w:lang w:val="en-US"/>
        </w:rPr>
        <w:t>Optimize visual designs for accessibility and engagement.</w:t>
      </w:r>
    </w:p>
    <w:p>
      <w:pPr>
        <w:pStyle w:val="Heading"/>
        <w:rPr>
          <w:rStyle w:val="None"/>
          <w:sz w:val="24"/>
          <w:szCs w:val="24"/>
        </w:rPr>
      </w:pPr>
      <w:r>
        <w:rPr>
          <w:rStyle w:val="None"/>
          <w:rtl w:val="0"/>
          <w:lang w:val="en-US"/>
        </w:rPr>
        <w:t>Pricing and Registration</w:t>
      </w:r>
    </w:p>
    <w:p>
      <w:pPr>
        <w:pStyle w:val="Bullet list"/>
        <w:numPr>
          <w:ilvl w:val="0"/>
          <w:numId w:val="2"/>
        </w:numPr>
        <w:rPr>
          <w:lang w:val="en-US"/>
        </w:rPr>
      </w:pPr>
      <w:r>
        <w:rPr>
          <w:rStyle w:val="None"/>
          <w:rFonts w:ascii="Raleway Thin Bold" w:hAnsi="Raleway Thin Bold"/>
          <w:rtl w:val="0"/>
          <w:lang w:val="en-US"/>
        </w:rPr>
        <w:t>Cost:</w:t>
      </w:r>
      <w:r>
        <w:rPr>
          <w:rStyle w:val="None"/>
          <w:rtl w:val="0"/>
          <w:lang w:val="en-US"/>
        </w:rPr>
        <w:t xml:space="preserve"> </w:t>
      </w:r>
      <w:r>
        <w:rPr>
          <w:rStyle w:val="None"/>
          <w:rtl w:val="0"/>
          <w:lang w:val="en-US"/>
        </w:rPr>
        <w:t>i</w:t>
      </w:r>
      <w:r>
        <w:rPr>
          <w:rStyle w:val="None"/>
          <w:rtl w:val="0"/>
          <w:lang w:val="en-US"/>
        </w:rPr>
        <w:t>ndustry</w:t>
      </w:r>
      <w:r>
        <w:rPr>
          <w:rStyle w:val="None"/>
          <w:rtl w:val="0"/>
          <w:lang w:val="en-US"/>
        </w:rPr>
        <w:t xml:space="preserve">: </w:t>
      </w:r>
      <w:r>
        <w:rPr>
          <w:rtl w:val="0"/>
          <w:lang w:val="en-US"/>
        </w:rPr>
        <w:t>€</w:t>
      </w:r>
      <w:r>
        <w:rPr>
          <w:rtl w:val="0"/>
          <w:lang w:val="en-US"/>
        </w:rPr>
        <w:t>3</w:t>
      </w:r>
      <w:r>
        <w:rPr>
          <w:rtl w:val="0"/>
          <w:lang w:val="en-US"/>
        </w:rPr>
        <w:t>0</w:t>
      </w:r>
      <w:r>
        <w:rPr>
          <w:rtl w:val="0"/>
          <w:lang w:val="en-US"/>
        </w:rPr>
        <w:t>0</w:t>
      </w:r>
      <w:r>
        <w:rPr>
          <w:rtl w:val="0"/>
          <w:lang w:val="en-US"/>
        </w:rPr>
        <w:t>, a</w:t>
      </w:r>
      <w:r>
        <w:rPr>
          <w:rtl w:val="0"/>
          <w:lang w:val="en-US"/>
        </w:rPr>
        <w:t>cademic</w:t>
      </w:r>
      <w:r>
        <w:rPr>
          <w:rtl w:val="0"/>
          <w:lang w:val="en-US"/>
        </w:rPr>
        <w:t>s</w:t>
      </w:r>
      <w:r>
        <w:rPr>
          <w:rtl w:val="0"/>
          <w:lang w:val="en-US"/>
        </w:rPr>
        <w:t>/</w:t>
      </w:r>
      <w:r>
        <w:rPr>
          <w:rtl w:val="0"/>
          <w:lang w:val="en-US"/>
        </w:rPr>
        <w:t>f</w:t>
      </w:r>
      <w:r>
        <w:rPr>
          <w:rtl w:val="0"/>
          <w:lang w:val="en-US"/>
        </w:rPr>
        <w:t>reelancer</w:t>
      </w:r>
      <w:r>
        <w:rPr>
          <w:rtl w:val="0"/>
          <w:lang w:val="en-US"/>
        </w:rPr>
        <w:t xml:space="preserve">: </w:t>
      </w:r>
      <w:r>
        <w:rPr>
          <w:rtl w:val="0"/>
          <w:lang w:val="en-US"/>
        </w:rPr>
        <w:t>€</w:t>
      </w:r>
      <w:r>
        <w:rPr>
          <w:rtl w:val="0"/>
          <w:lang w:val="en-US"/>
        </w:rPr>
        <w:t>2</w:t>
      </w:r>
      <w:r>
        <w:rPr>
          <w:rtl w:val="0"/>
          <w:lang w:val="en-US"/>
        </w:rPr>
        <w:t>25, s</w:t>
      </w:r>
      <w:r>
        <w:rPr>
          <w:rtl w:val="0"/>
          <w:lang w:val="en-US"/>
        </w:rPr>
        <w:t xml:space="preserve">tudent/unemployed: </w:t>
      </w:r>
      <w:r>
        <w:rPr>
          <w:rtl w:val="0"/>
          <w:lang w:val="en-US"/>
        </w:rPr>
        <w:t>€</w:t>
      </w:r>
      <w:r>
        <w:rPr>
          <w:rtl w:val="0"/>
          <w:lang w:val="en-US"/>
        </w:rPr>
        <w:t>1</w:t>
      </w:r>
      <w:r>
        <w:rPr>
          <w:rtl w:val="0"/>
          <w:lang w:val="en-US"/>
        </w:rPr>
        <w:t>5</w:t>
      </w:r>
      <w:r>
        <w:rPr>
          <w:rtl w:val="0"/>
          <w:lang w:val="en-US"/>
        </w:rPr>
        <w:t>0</w:t>
      </w:r>
    </w:p>
    <w:p>
      <w:pPr>
        <w:pStyle w:val="Bullet list"/>
        <w:numPr>
          <w:ilvl w:val="0"/>
          <w:numId w:val="2"/>
        </w:numPr>
        <w:rPr>
          <w:lang w:val="en-US"/>
        </w:rPr>
      </w:pPr>
      <w:r>
        <w:rPr>
          <w:rStyle w:val="None"/>
          <w:rFonts w:ascii="Raleway Thin Bold" w:hAnsi="Raleway Thin Bold"/>
          <w:rtl w:val="0"/>
          <w:lang w:val="en-US"/>
        </w:rPr>
        <w:t>Location:</w:t>
      </w:r>
      <w:r>
        <w:rPr>
          <w:rStyle w:val="None"/>
          <w:rtl w:val="0"/>
          <w:lang w:val="en-US"/>
        </w:rPr>
        <w:t xml:space="preserve"> Karlstorkino, Medienforum Heidelber</w:t>
      </w:r>
      <w:r>
        <w:rPr>
          <w:rStyle w:val="None"/>
          <w:rtl w:val="0"/>
          <w:lang w:val="en-US"/>
        </w:rPr>
        <w:t>g, Germany</w:t>
      </w:r>
      <w:r>
        <w:rPr>
          <w:rtl w:val="0"/>
          <w:lang w:val="en-US"/>
        </w:rPr>
        <w:t>.</w:t>
      </w:r>
    </w:p>
    <w:p>
      <w:pPr>
        <w:pStyle w:val="Bullet list"/>
        <w:numPr>
          <w:ilvl w:val="0"/>
          <w:numId w:val="2"/>
        </w:numPr>
        <w:rPr>
          <w:lang w:val="en-US"/>
        </w:rPr>
      </w:pPr>
      <w:r>
        <w:rPr>
          <w:rStyle w:val="None"/>
          <w:rFonts w:ascii="Raleway Thin Bold" w:hAnsi="Raleway Thin Bold"/>
          <w:rtl w:val="0"/>
          <w:lang w:val="en-US"/>
        </w:rPr>
        <w:t>Date and Time:</w:t>
      </w:r>
      <w:r>
        <w:rPr>
          <w:rStyle w:val="None"/>
          <w:rtl w:val="0"/>
          <w:lang w:val="en-US"/>
        </w:rPr>
        <w:t xml:space="preserve"> </w:t>
      </w:r>
      <w:r>
        <w:rPr>
          <w:rStyle w:val="None"/>
          <w:rtl w:val="0"/>
          <w:lang w:val="en-US"/>
        </w:rPr>
        <w:t>Wednesday</w:t>
      </w:r>
      <w:r>
        <w:rPr>
          <w:rStyle w:val="None"/>
          <w:rtl w:val="0"/>
          <w:lang w:val="en-US"/>
        </w:rPr>
        <w:t xml:space="preserve">, </w:t>
      </w:r>
      <w:r>
        <w:rPr>
          <w:rStyle w:val="None"/>
          <w:rtl w:val="0"/>
          <w:lang w:val="en-US"/>
        </w:rPr>
        <w:t>2</w:t>
      </w:r>
      <w:r>
        <w:rPr>
          <w:rStyle w:val="None"/>
          <w:rtl w:val="0"/>
          <w:lang w:val="en-US"/>
        </w:rPr>
        <w:t xml:space="preserve"> </w:t>
      </w:r>
      <w:r>
        <w:rPr>
          <w:rStyle w:val="None"/>
          <w:rtl w:val="0"/>
          <w:lang w:val="en-US"/>
        </w:rPr>
        <w:t>April</w:t>
      </w:r>
      <w:r>
        <w:rPr>
          <w:rStyle w:val="None"/>
          <w:rtl w:val="0"/>
          <w:lang w:val="en-US"/>
        </w:rPr>
        <w:t xml:space="preserve"> 202</w:t>
      </w:r>
      <w:r>
        <w:rPr>
          <w:rStyle w:val="None"/>
          <w:rtl w:val="0"/>
          <w:lang w:val="en-US"/>
        </w:rPr>
        <w:t>5</w:t>
      </w:r>
      <w:r>
        <w:rPr>
          <w:rStyle w:val="None"/>
          <w:rtl w:val="0"/>
          <w:lang w:val="en-US"/>
        </w:rPr>
        <w:t xml:space="preserve"> | </w:t>
      </w:r>
      <w:r>
        <w:rPr>
          <w:rStyle w:val="None"/>
          <w:rtl w:val="0"/>
          <w:lang w:val="en-US"/>
        </w:rPr>
        <w:t>1</w:t>
      </w:r>
      <w:r>
        <w:rPr>
          <w:rStyle w:val="None"/>
          <w:rtl w:val="0"/>
          <w:lang w:val="en-US"/>
        </w:rPr>
        <w:t xml:space="preserve">:00 </w:t>
      </w:r>
      <w:r>
        <w:rPr>
          <w:rStyle w:val="None"/>
          <w:rtl w:val="0"/>
          <w:lang w:val="en-US"/>
        </w:rPr>
        <w:t>P</w:t>
      </w:r>
      <w:r>
        <w:rPr>
          <w:rStyle w:val="None"/>
          <w:rtl w:val="0"/>
          <w:lang w:val="en-US"/>
        </w:rPr>
        <w:t xml:space="preserve">M </w:t>
      </w:r>
      <w:r>
        <w:rPr>
          <w:rStyle w:val="None"/>
          <w:rtl w:val="0"/>
          <w:lang w:val="en-US"/>
        </w:rPr>
        <w:t xml:space="preserve">– </w:t>
      </w:r>
      <w:r>
        <w:rPr>
          <w:rStyle w:val="None"/>
          <w:rtl w:val="0"/>
          <w:lang w:val="en-US"/>
        </w:rPr>
        <w:t>4:</w:t>
      </w:r>
      <w:r>
        <w:rPr>
          <w:rStyle w:val="None"/>
          <w:rtl w:val="0"/>
          <w:lang w:val="en-US"/>
        </w:rPr>
        <w:t>00 PM.</w:t>
      </w:r>
    </w:p>
    <w:p>
      <w:pPr>
        <w:pStyle w:val="Bullet list"/>
        <w:numPr>
          <w:ilvl w:val="0"/>
          <w:numId w:val="2"/>
        </w:numPr>
        <w:rPr>
          <w:lang w:val="de-DE"/>
        </w:rPr>
      </w:pPr>
      <w:r>
        <w:rPr>
          <w:rStyle w:val="None"/>
          <w:rFonts w:ascii="Raleway Thin Bold" w:hAnsi="Raleway Thin Bold"/>
          <w:rtl w:val="0"/>
          <w:lang w:val="de-DE"/>
        </w:rPr>
        <w:t>Registration:</w:t>
      </w:r>
      <w:r>
        <w:rPr>
          <w:rStyle w:val="None"/>
          <w:rtl w:val="0"/>
          <w:lang w:val="en-US"/>
        </w:rPr>
        <w:t xml:space="preserve"> Reserve your spot using the link below.</w:t>
      </w:r>
    </w:p>
    <w:sectPr>
      <w:headerReference w:type="default" r:id="rId6"/>
      <w:footerReference w:type="default" r:id="rId7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Raleway Thin Regular">
    <w:charset w:val="00"/>
    <w:family w:val="roman"/>
    <w:pitch w:val="default"/>
  </w:font>
  <w:font w:name="Raleway Thin Bol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tabs>
        <w:tab w:val="center" w:pos="4819"/>
        <w:tab w:val="right" w:pos="9612"/>
        <w:tab w:val="clear" w:pos="9020"/>
      </w:tabs>
    </w:pPr>
    <w:r>
      <w:rPr>
        <w:b w:val="1"/>
        <w:bCs w:val="1"/>
        <w:outline w:val="0"/>
        <w:color w:val="0076ba"/>
        <w:u w:color="0076ba"/>
        <w14:textFill>
          <w14:solidFill>
            <w14:srgbClr w14:val="0076BA"/>
          </w14:solidFill>
        </w14:textFill>
      </w:rPr>
      <w:tab/>
    </w:r>
    <w:r>
      <w:rPr>
        <w:rStyle w:val="Hyperlink.0"/>
      </w:rPr>
      <w:fldChar w:fldCharType="begin" w:fldLock="0"/>
    </w:r>
    <w:r>
      <w:rPr>
        <w:rStyle w:val="Hyperlink.0"/>
      </w:rPr>
      <w:instrText xml:space="preserve"> HYPERLINK "https://datavismasterclass.org/de/heidelberg"</w:instrText>
    </w:r>
    <w:r>
      <w:rPr>
        <w:rStyle w:val="Hyperlink.0"/>
      </w:rPr>
      <w:fldChar w:fldCharType="separate" w:fldLock="0"/>
    </w:r>
    <w:r>
      <w:rPr>
        <w:rStyle w:val="Hyperlink.0"/>
        <w:rtl w:val="0"/>
        <w:lang w:val="es-ES_tradnl"/>
      </w:rPr>
      <w:t>https://datavismasterclass.org</w:t>
    </w:r>
    <w:r>
      <w:rPr/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Bullet"/>
  </w:abstractNum>
  <w:abstractNum w:abstractNumId="1">
    <w:multiLevelType w:val="hybridMultilevel"/>
    <w:styleLink w:val="Bullet"/>
    <w:lvl w:ilvl="0">
      <w:start w:val="1"/>
      <w:numFmt w:val="bullet"/>
      <w:suff w:val="tab"/>
      <w:lvlText w:val="•"/>
      <w:lvlJc w:val="left"/>
      <w:pPr>
        <w:ind w:left="198" w:hanging="198"/>
      </w:pPr>
      <w:rPr>
        <w:rFonts w:ascii="Arial" w:cs="Arial" w:hAnsi="Arial" w:eastAsia="Arial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849" w:hanging="409"/>
      </w:pPr>
      <w:rPr>
        <w:rFonts w:ascii="Arial" w:cs="Arial" w:hAnsi="Arial" w:eastAsia="Arial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069" w:hanging="409"/>
      </w:pPr>
      <w:rPr>
        <w:rFonts w:ascii="Arial" w:cs="Arial" w:hAnsi="Arial" w:eastAsia="Arial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289" w:hanging="409"/>
      </w:pPr>
      <w:rPr>
        <w:rFonts w:ascii="Arial" w:cs="Arial" w:hAnsi="Arial" w:eastAsia="Arial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509" w:hanging="409"/>
      </w:pPr>
      <w:rPr>
        <w:rFonts w:ascii="Arial" w:cs="Arial" w:hAnsi="Arial" w:eastAsia="Arial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729" w:hanging="409"/>
      </w:pPr>
      <w:rPr>
        <w:rFonts w:ascii="Arial" w:cs="Arial" w:hAnsi="Arial" w:eastAsia="Arial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949" w:hanging="409"/>
      </w:pPr>
      <w:rPr>
        <w:rFonts w:ascii="Arial" w:cs="Arial" w:hAnsi="Arial" w:eastAsia="Arial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2169" w:hanging="409"/>
      </w:pPr>
      <w:rPr>
        <w:rFonts w:ascii="Arial" w:cs="Arial" w:hAnsi="Arial" w:eastAsia="Arial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2389" w:hanging="409"/>
      </w:pPr>
      <w:rPr>
        <w:rFonts w:ascii="Arial" w:cs="Arial" w:hAnsi="Arial" w:eastAsia="Arial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start w:val="1"/>
        <w:numFmt w:val="bullet"/>
        <w:suff w:val="tab"/>
        <w:lvlText w:val="•"/>
        <w:lvlJc w:val="left"/>
        <w:pPr>
          <w:ind w:left="198" w:hanging="19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849" w:hanging="40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1069" w:hanging="40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1289" w:hanging="40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1509" w:hanging="40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1729" w:hanging="40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1949" w:hanging="40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2169" w:hanging="40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2389" w:hanging="40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Helvetica Neue" w:hAnsi="Helvetica Neue"/>
      <w:b w:val="1"/>
      <w:bCs w:val="1"/>
      <w:outline w:val="0"/>
      <w:color w:val="0076ba"/>
      <w:u w:val="single" w:color="0076ba"/>
      <w:lang w:val="es-ES_tradnl"/>
      <w14:textFill>
        <w14:solidFill>
          <w14:srgbClr w14:val="0076BA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320" w:line="240" w:lineRule="auto"/>
      <w:ind w:left="0" w:right="0" w:firstLine="0"/>
      <w:jc w:val="left"/>
      <w:outlineLvl w:val="9"/>
    </w:pPr>
    <w:rPr>
      <w:rFonts w:ascii="Raleway Thin Regular" w:cs="Raleway Thin Regular" w:hAnsi="Raleway Thin Regular" w:eastAsia="Raleway Thin Regular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6"/>
      <w:szCs w:val="26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Heading">
    <w:name w:val="Heading"/>
    <w:next w:val="Body A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80" w:line="240" w:lineRule="auto"/>
      <w:ind w:left="0" w:right="0" w:firstLine="0"/>
      <w:jc w:val="left"/>
      <w:outlineLvl w:val="0"/>
    </w:pPr>
    <w:rPr>
      <w:rFonts w:ascii="Raleway Thin Bold" w:cs="Arial Unicode MS" w:hAnsi="Raleway Thin Bold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2"/>
      <w:szCs w:val="32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80" w:line="288" w:lineRule="auto"/>
      <w:ind w:left="0" w:right="0" w:firstLine="0"/>
      <w:jc w:val="left"/>
      <w:outlineLvl w:val="9"/>
    </w:pPr>
    <w:rPr>
      <w:rFonts w:ascii="Raleway Thin Regular" w:cs="Arial Unicode MS" w:hAnsi="Raleway Thin Regular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Hyperlink.1">
    <w:name w:val="Hyperlink.1"/>
    <w:basedOn w:val="None"/>
    <w:next w:val="Hyperlink.1"/>
    <w:rPr>
      <w:rFonts w:ascii="Times New Roman" w:cs="Times New Roman" w:hAnsi="Times New Roman" w:eastAsia="Times New Roman"/>
      <w:b w:val="1"/>
      <w:bCs w:val="1"/>
      <w:outline w:val="0"/>
      <w:color w:val="0076ba"/>
      <w:u w:val="single" w:color="0076ba"/>
      <w:lang w:val="en-US"/>
      <w14:textFill>
        <w14:solidFill>
          <w14:srgbClr w14:val="0076BA"/>
        </w14:solidFill>
      </w14:textFill>
    </w:rPr>
  </w:style>
  <w:style w:type="character" w:styleId="Hyperlink.2">
    <w:name w:val="Hyperlink.2"/>
    <w:basedOn w:val="None"/>
    <w:next w:val="Hyperlink.2"/>
    <w:rPr>
      <w:outline w:val="0"/>
      <w:color w:val="209dc4"/>
      <w:u w:color="209dc4"/>
      <w:lang w:val="de-DE"/>
      <w14:textFill>
        <w14:solidFill>
          <w14:srgbClr w14:val="209DC4"/>
        </w14:solidFill>
      </w14:textFill>
    </w:rPr>
  </w:style>
  <w:style w:type="paragraph" w:styleId="Bullet list">
    <w:name w:val="Bullet list"/>
    <w:next w:val="Bullet lis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60" w:line="240" w:lineRule="auto"/>
      <w:ind w:left="0" w:right="0" w:firstLine="0"/>
      <w:jc w:val="left"/>
      <w:outlineLvl w:val="9"/>
    </w:pPr>
    <w:rPr>
      <w:rFonts w:ascii="Raleway Thin Regular" w:cs="Arial Unicode MS" w:hAnsi="Raleway Thin Regular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numbering" w:styleId="Bullet">
    <w:name w:val="Bullet"/>
    <w:pPr>
      <w:numPr>
        <w:numId w:val="1"/>
      </w:numPr>
    </w:pPr>
  </w:style>
  <w:style w:type="paragraph" w:styleId="Bullet list - last">
    <w:name w:val="Bullet list - last"/>
    <w:next w:val="Bullet list - las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40" w:line="240" w:lineRule="auto"/>
      <w:ind w:left="0" w:right="0" w:firstLine="0"/>
      <w:jc w:val="left"/>
      <w:outlineLvl w:val="9"/>
    </w:pPr>
    <w:rPr>
      <w:rFonts w:ascii="Raleway Thin Regular" w:cs="Arial Unicode MS" w:hAnsi="Raleway Thin Regular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yperlink" Target="https://datavismasterclass.org/de/heidelberg" TargetMode="External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